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0EE1" w14:textId="7AAEEAE1" w:rsidR="00D30F31" w:rsidRDefault="61A4473B" w:rsidP="00D30F31">
      <w:pPr>
        <w:spacing w:after="0"/>
        <w:jc w:val="center"/>
        <w:rPr>
          <w:rFonts w:ascii="Calibri" w:eastAsia="Calibri" w:hAnsi="Calibri" w:cs="Calibri"/>
          <w:b/>
          <w:bCs/>
          <w:color w:val="000000" w:themeColor="text1"/>
          <w:sz w:val="28"/>
          <w:szCs w:val="28"/>
        </w:rPr>
      </w:pPr>
      <w:r w:rsidRPr="4A1ED90F">
        <w:rPr>
          <w:rFonts w:ascii="Calibri" w:eastAsia="Calibri" w:hAnsi="Calibri" w:cs="Calibri"/>
          <w:b/>
          <w:bCs/>
          <w:color w:val="000000" w:themeColor="text1"/>
          <w:sz w:val="28"/>
          <w:szCs w:val="28"/>
        </w:rPr>
        <w:t>C</w:t>
      </w:r>
      <w:r w:rsidR="00D30F31" w:rsidRPr="4A1ED90F">
        <w:rPr>
          <w:rFonts w:ascii="Calibri" w:eastAsia="Calibri" w:hAnsi="Calibri" w:cs="Calibri"/>
          <w:b/>
          <w:bCs/>
          <w:color w:val="000000" w:themeColor="text1"/>
          <w:sz w:val="28"/>
          <w:szCs w:val="28"/>
        </w:rPr>
        <w:t xml:space="preserve">ollege Scorecard </w:t>
      </w:r>
      <w:r w:rsidR="00B67129">
        <w:rPr>
          <w:rFonts w:ascii="Calibri" w:eastAsia="Calibri" w:hAnsi="Calibri" w:cs="Calibri"/>
          <w:b/>
          <w:bCs/>
          <w:color w:val="000000" w:themeColor="text1"/>
          <w:sz w:val="28"/>
          <w:szCs w:val="28"/>
        </w:rPr>
        <w:t>Counselor and</w:t>
      </w:r>
      <w:r w:rsidR="00660811" w:rsidRPr="4A1ED90F">
        <w:rPr>
          <w:rFonts w:ascii="Calibri" w:eastAsia="Calibri" w:hAnsi="Calibri" w:cs="Calibri"/>
          <w:b/>
          <w:bCs/>
          <w:color w:val="000000" w:themeColor="text1"/>
          <w:sz w:val="28"/>
          <w:szCs w:val="28"/>
        </w:rPr>
        <w:t xml:space="preserve"> Advisor</w:t>
      </w:r>
      <w:r w:rsidR="00D30F31" w:rsidRPr="4A1ED90F">
        <w:rPr>
          <w:rFonts w:ascii="Calibri" w:eastAsia="Calibri" w:hAnsi="Calibri" w:cs="Calibri"/>
          <w:b/>
          <w:bCs/>
          <w:color w:val="000000" w:themeColor="text1"/>
          <w:sz w:val="28"/>
          <w:szCs w:val="28"/>
        </w:rPr>
        <w:t xml:space="preserve"> Training</w:t>
      </w:r>
    </w:p>
    <w:p w14:paraId="090902E5" w14:textId="047EBDC6" w:rsidR="002B5987" w:rsidRPr="00660811" w:rsidRDefault="002B5987" w:rsidP="002B5987">
      <w:pPr>
        <w:spacing w:after="0"/>
        <w:jc w:val="center"/>
        <w:rPr>
          <w:b/>
          <w:bCs/>
        </w:rPr>
      </w:pPr>
      <w:r w:rsidRPr="00660811">
        <w:rPr>
          <w:rFonts w:ascii="Calibri" w:eastAsia="Calibri" w:hAnsi="Calibri" w:cs="Calibri"/>
          <w:b/>
          <w:bCs/>
          <w:color w:val="000000" w:themeColor="text1"/>
        </w:rPr>
        <w:t>Benefits of Using College Scorecard Data Handout</w:t>
      </w:r>
    </w:p>
    <w:p w14:paraId="65F4BF0A" w14:textId="77777777" w:rsidR="00C2505D" w:rsidRDefault="00C2505D" w:rsidP="00C2505D">
      <w:pPr>
        <w:spacing w:after="0"/>
        <w:rPr>
          <w:rFonts w:ascii="Calibri" w:eastAsia="Calibri" w:hAnsi="Calibri" w:cs="Calibri"/>
          <w:color w:val="000000" w:themeColor="text1"/>
          <w:szCs w:val="28"/>
        </w:rPr>
      </w:pPr>
    </w:p>
    <w:p w14:paraId="614F020C" w14:textId="151D33CE" w:rsidR="00C2505D" w:rsidRDefault="00FF36C8" w:rsidP="4FDCD2E6">
      <w:pPr>
        <w:spacing w:after="0"/>
        <w:rPr>
          <w:rFonts w:ascii="Calibri" w:eastAsia="Calibri" w:hAnsi="Calibri" w:cs="Calibri"/>
          <w:color w:val="000000" w:themeColor="text1"/>
        </w:rPr>
      </w:pPr>
      <w:r w:rsidRPr="4FDCD2E6">
        <w:rPr>
          <w:rFonts w:ascii="Calibri" w:eastAsia="Calibri" w:hAnsi="Calibri" w:cs="Calibri"/>
          <w:color w:val="000000" w:themeColor="text1"/>
        </w:rPr>
        <w:t>College Scorecard offers two primary benefits in guiding students through the college selection process:</w:t>
      </w:r>
    </w:p>
    <w:p w14:paraId="04A5964A" w14:textId="77777777" w:rsidR="008C4BCA" w:rsidRPr="008C4BCA" w:rsidRDefault="008C4BCA" w:rsidP="4FDCD2E6">
      <w:pPr>
        <w:pStyle w:val="ListParagraph"/>
        <w:numPr>
          <w:ilvl w:val="0"/>
          <w:numId w:val="1"/>
        </w:numPr>
        <w:spacing w:after="0"/>
        <w:rPr>
          <w:rFonts w:ascii="Calibri" w:eastAsia="Calibri" w:hAnsi="Calibri" w:cs="Calibri"/>
          <w:color w:val="000000" w:themeColor="text1"/>
        </w:rPr>
      </w:pPr>
      <w:r w:rsidRPr="4FDCD2E6">
        <w:rPr>
          <w:rFonts w:ascii="Calibri" w:eastAsia="Calibri" w:hAnsi="Calibri" w:cs="Calibri"/>
          <w:color w:val="000000" w:themeColor="text1"/>
        </w:rPr>
        <w:t>Focus on high-priority data elements, providing a filtered and refined view.</w:t>
      </w:r>
    </w:p>
    <w:p w14:paraId="006619DF" w14:textId="6E34872D" w:rsidR="00C2505D" w:rsidRDefault="008C4BCA" w:rsidP="4FDCD2E6">
      <w:pPr>
        <w:pStyle w:val="ListParagraph"/>
        <w:numPr>
          <w:ilvl w:val="0"/>
          <w:numId w:val="1"/>
        </w:numPr>
        <w:spacing w:after="0"/>
        <w:rPr>
          <w:rFonts w:ascii="Calibri" w:eastAsia="Calibri" w:hAnsi="Calibri" w:cs="Calibri"/>
          <w:color w:val="000000" w:themeColor="text1"/>
        </w:rPr>
      </w:pPr>
      <w:r w:rsidRPr="4FDCD2E6">
        <w:rPr>
          <w:rFonts w:ascii="Calibri" w:eastAsia="Calibri" w:hAnsi="Calibri" w:cs="Calibri"/>
          <w:color w:val="000000" w:themeColor="text1"/>
        </w:rPr>
        <w:t>Reliable data from accurate sources, ensuring trustworthiness in decision-making.</w:t>
      </w:r>
    </w:p>
    <w:p w14:paraId="725D7BBF" w14:textId="77777777" w:rsidR="00C151AF" w:rsidRDefault="00C151AF" w:rsidP="00C2505D">
      <w:pPr>
        <w:spacing w:after="0"/>
        <w:rPr>
          <w:rFonts w:ascii="Calibri" w:eastAsia="Calibri" w:hAnsi="Calibri" w:cs="Calibri"/>
          <w:color w:val="000000" w:themeColor="text1"/>
          <w:sz w:val="28"/>
          <w:szCs w:val="28"/>
        </w:rPr>
      </w:pPr>
    </w:p>
    <w:p w14:paraId="2924EB58" w14:textId="01BE089F" w:rsidR="00503587" w:rsidRPr="009B185B" w:rsidRDefault="00503587" w:rsidP="00C2505D">
      <w:pPr>
        <w:spacing w:after="0"/>
        <w:rPr>
          <w:rFonts w:ascii="Calibri" w:eastAsia="Calibri" w:hAnsi="Calibri" w:cs="Calibri"/>
          <w:color w:val="000000" w:themeColor="text1"/>
          <w:szCs w:val="28"/>
        </w:rPr>
      </w:pPr>
      <w:r w:rsidRPr="009B185B">
        <w:rPr>
          <w:rFonts w:ascii="Calibri" w:eastAsia="Calibri" w:hAnsi="Calibri" w:cs="Calibri"/>
          <w:color w:val="000000" w:themeColor="text1"/>
          <w:szCs w:val="28"/>
        </w:rPr>
        <w:t>The table below summarizes</w:t>
      </w:r>
      <w:r w:rsidR="00621F0D" w:rsidRPr="009B185B">
        <w:rPr>
          <w:rFonts w:ascii="Calibri" w:eastAsia="Calibri" w:hAnsi="Calibri" w:cs="Calibri"/>
          <w:color w:val="000000" w:themeColor="text1"/>
          <w:szCs w:val="28"/>
        </w:rPr>
        <w:t xml:space="preserve"> </w:t>
      </w:r>
      <w:r w:rsidR="00250AB3" w:rsidRPr="009B185B">
        <w:rPr>
          <w:rFonts w:ascii="Calibri" w:eastAsia="Calibri" w:hAnsi="Calibri" w:cs="Calibri"/>
          <w:color w:val="000000" w:themeColor="text1"/>
          <w:szCs w:val="28"/>
        </w:rPr>
        <w:t xml:space="preserve">the benefits </w:t>
      </w:r>
      <w:r w:rsidR="00DE02A6" w:rsidRPr="009B185B">
        <w:rPr>
          <w:rFonts w:ascii="Calibri" w:eastAsia="Calibri" w:hAnsi="Calibri" w:cs="Calibri"/>
          <w:color w:val="000000" w:themeColor="text1"/>
          <w:szCs w:val="28"/>
        </w:rPr>
        <w:t>of College Scorecard by category.</w:t>
      </w:r>
    </w:p>
    <w:tbl>
      <w:tblPr>
        <w:tblStyle w:val="TableGrid"/>
        <w:tblW w:w="13500" w:type="dxa"/>
        <w:tblInd w:w="108" w:type="dxa"/>
        <w:tblLook w:val="04A0" w:firstRow="1" w:lastRow="0" w:firstColumn="1" w:lastColumn="0" w:noHBand="0" w:noVBand="1"/>
      </w:tblPr>
      <w:tblGrid>
        <w:gridCol w:w="1230"/>
        <w:gridCol w:w="3307"/>
        <w:gridCol w:w="7156"/>
        <w:gridCol w:w="1807"/>
      </w:tblGrid>
      <w:tr w:rsidR="00D879D5" w14:paraId="7474A1BE" w14:textId="77777777" w:rsidTr="18F33C43">
        <w:tc>
          <w:tcPr>
            <w:tcW w:w="1230" w:type="dxa"/>
            <w:shd w:val="clear" w:color="auto" w:fill="E7E6E6" w:themeFill="background2"/>
          </w:tcPr>
          <w:p w14:paraId="0AA4BC39" w14:textId="676D9078" w:rsidR="00C704AD" w:rsidRPr="007941DF" w:rsidRDefault="00C704AD" w:rsidP="009B185B">
            <w:pPr>
              <w:jc w:val="center"/>
              <w:rPr>
                <w:b/>
                <w:bCs/>
              </w:rPr>
            </w:pPr>
            <w:r w:rsidRPr="007941DF">
              <w:rPr>
                <w:b/>
                <w:bCs/>
              </w:rPr>
              <w:t xml:space="preserve">Categories of </w:t>
            </w:r>
            <w:r w:rsidR="00EC5790">
              <w:rPr>
                <w:b/>
                <w:bCs/>
              </w:rPr>
              <w:t>D</w:t>
            </w:r>
            <w:r w:rsidRPr="007941DF">
              <w:rPr>
                <w:b/>
                <w:bCs/>
              </w:rPr>
              <w:t>ata</w:t>
            </w:r>
          </w:p>
        </w:tc>
        <w:tc>
          <w:tcPr>
            <w:tcW w:w="3307" w:type="dxa"/>
            <w:shd w:val="clear" w:color="auto" w:fill="E7E6E6" w:themeFill="background2"/>
          </w:tcPr>
          <w:p w14:paraId="6CD58F0D" w14:textId="14E289BE" w:rsidR="00C704AD" w:rsidRPr="007941DF" w:rsidRDefault="00C704AD" w:rsidP="009B185B">
            <w:pPr>
              <w:jc w:val="center"/>
              <w:rPr>
                <w:b/>
                <w:bCs/>
              </w:rPr>
            </w:pPr>
            <w:r w:rsidRPr="007941DF">
              <w:rPr>
                <w:b/>
                <w:bCs/>
              </w:rPr>
              <w:t>Importance</w:t>
            </w:r>
            <w:r>
              <w:rPr>
                <w:b/>
                <w:bCs/>
              </w:rPr>
              <w:t xml:space="preserve"> of </w:t>
            </w:r>
            <w:r w:rsidR="00EC5790">
              <w:rPr>
                <w:b/>
                <w:bCs/>
              </w:rPr>
              <w:t>C</w:t>
            </w:r>
            <w:r>
              <w:rPr>
                <w:b/>
                <w:bCs/>
              </w:rPr>
              <w:t>ategory</w:t>
            </w:r>
          </w:p>
        </w:tc>
        <w:tc>
          <w:tcPr>
            <w:tcW w:w="7156" w:type="dxa"/>
            <w:shd w:val="clear" w:color="auto" w:fill="E7E6E6" w:themeFill="background2"/>
          </w:tcPr>
          <w:p w14:paraId="5CBDFBF1" w14:textId="67DA4F66" w:rsidR="00C704AD" w:rsidRPr="007941DF" w:rsidRDefault="00C704AD" w:rsidP="009B185B">
            <w:pPr>
              <w:jc w:val="center"/>
              <w:rPr>
                <w:b/>
                <w:bCs/>
              </w:rPr>
            </w:pPr>
            <w:r w:rsidRPr="4FDCD2E6">
              <w:rPr>
                <w:b/>
                <w:bCs/>
              </w:rPr>
              <w:t>R</w:t>
            </w:r>
            <w:r w:rsidR="00DF53B1" w:rsidRPr="4FDCD2E6">
              <w:rPr>
                <w:b/>
                <w:bCs/>
              </w:rPr>
              <w:t xml:space="preserve">esearch </w:t>
            </w:r>
            <w:r w:rsidR="00EE089F" w:rsidRPr="4FDCD2E6">
              <w:rPr>
                <w:b/>
                <w:bCs/>
              </w:rPr>
              <w:t>Justification</w:t>
            </w:r>
          </w:p>
        </w:tc>
        <w:tc>
          <w:tcPr>
            <w:tcW w:w="1807" w:type="dxa"/>
            <w:shd w:val="clear" w:color="auto" w:fill="E7E6E6" w:themeFill="background2"/>
          </w:tcPr>
          <w:p w14:paraId="57DDD657" w14:textId="74603705" w:rsidR="00C704AD" w:rsidRPr="007941DF" w:rsidRDefault="00660811" w:rsidP="009B185B">
            <w:pPr>
              <w:jc w:val="center"/>
              <w:rPr>
                <w:b/>
                <w:bCs/>
              </w:rPr>
            </w:pPr>
            <w:r>
              <w:rPr>
                <w:b/>
                <w:bCs/>
              </w:rPr>
              <w:t>Data Sources</w:t>
            </w:r>
          </w:p>
        </w:tc>
      </w:tr>
      <w:tr w:rsidR="00D879D5" w14:paraId="2ED12C07" w14:textId="77777777" w:rsidTr="18F33C43">
        <w:tc>
          <w:tcPr>
            <w:tcW w:w="1230" w:type="dxa"/>
          </w:tcPr>
          <w:p w14:paraId="396DE392" w14:textId="16BEC078" w:rsidR="00C704AD" w:rsidRDefault="00C704AD" w:rsidP="006C5D8E">
            <w:pPr>
              <w:spacing w:before="80"/>
            </w:pPr>
            <w:r>
              <w:t>Costs</w:t>
            </w:r>
          </w:p>
        </w:tc>
        <w:tc>
          <w:tcPr>
            <w:tcW w:w="3307" w:type="dxa"/>
          </w:tcPr>
          <w:p w14:paraId="47C02118" w14:textId="5608498D" w:rsidR="00C704AD" w:rsidRDefault="00C704AD" w:rsidP="006C5D8E">
            <w:pPr>
              <w:spacing w:before="80"/>
            </w:pPr>
            <w:r w:rsidRPr="00125BB3">
              <w:t>Addresses the common overestimation of college costs by students. Offers average annual costs (net price) rather than just tuition</w:t>
            </w:r>
            <w:r w:rsidR="00CE514C">
              <w:t xml:space="preserve"> and</w:t>
            </w:r>
            <w:r w:rsidRPr="00125BB3">
              <w:t xml:space="preserve"> fees, providing a realistic financial expectation.</w:t>
            </w:r>
          </w:p>
        </w:tc>
        <w:tc>
          <w:tcPr>
            <w:tcW w:w="7156" w:type="dxa"/>
          </w:tcPr>
          <w:p w14:paraId="76133F89" w14:textId="4F3B03C2" w:rsidR="00D31685" w:rsidRDefault="00D31685" w:rsidP="006C5D8E">
            <w:pPr>
              <w:spacing w:before="80"/>
            </w:pPr>
            <w:r>
              <w:rPr>
                <w:rFonts w:ascii="Segoe UI" w:hAnsi="Segoe UI" w:cs="Segoe UI"/>
                <w:color w:val="0D0D0D"/>
                <w:sz w:val="21"/>
                <w:szCs w:val="21"/>
                <w:shd w:val="clear" w:color="auto" w:fill="FFFFFF"/>
              </w:rPr>
              <w:t>Research shows students tend to overestimate college costs. College Scorecard focuses on average annual costs (net price) for a more accurate assessment.</w:t>
            </w:r>
          </w:p>
          <w:p w14:paraId="1FB4BF7A" w14:textId="77777777" w:rsidR="00D31685" w:rsidRDefault="00D31685"/>
          <w:p w14:paraId="38B28B84" w14:textId="77777777" w:rsidR="00C704AD" w:rsidRDefault="00EE089F">
            <w:r w:rsidRPr="009B185B">
              <w:rPr>
                <w:i/>
                <w:iCs/>
              </w:rPr>
              <w:t>What high schoolers and their parents know about public 4-year tuition and fees in their state</w:t>
            </w:r>
            <w:r w:rsidRPr="004A359F">
              <w:t>. (2018). National Center for Education Statistics</w:t>
            </w:r>
          </w:p>
          <w:p w14:paraId="325A78BF" w14:textId="66A545A0" w:rsidR="00BB2689" w:rsidRPr="004A359F" w:rsidRDefault="00BB2689"/>
        </w:tc>
        <w:tc>
          <w:tcPr>
            <w:tcW w:w="1807" w:type="dxa"/>
            <w:vMerge w:val="restart"/>
          </w:tcPr>
          <w:p w14:paraId="30C27361" w14:textId="5CF15BC5" w:rsidR="00C704AD" w:rsidRDefault="00C704AD" w:rsidP="006C5D8E">
            <w:pPr>
              <w:spacing w:before="80"/>
            </w:pPr>
            <w:r>
              <w:t>United States Department of Education, National Center for Education Statistics based on data reported from individual schools with consistent methodology and data definitions.</w:t>
            </w:r>
          </w:p>
        </w:tc>
      </w:tr>
      <w:tr w:rsidR="00D879D5" w14:paraId="59DB949F" w14:textId="77777777" w:rsidTr="18F33C43">
        <w:tc>
          <w:tcPr>
            <w:tcW w:w="1230" w:type="dxa"/>
          </w:tcPr>
          <w:p w14:paraId="2992CF94" w14:textId="5C6D88A0" w:rsidR="00C704AD" w:rsidRDefault="00C704AD" w:rsidP="006C5D8E">
            <w:pPr>
              <w:spacing w:before="80"/>
            </w:pPr>
            <w:r>
              <w:t xml:space="preserve">Graduation and retention </w:t>
            </w:r>
          </w:p>
        </w:tc>
        <w:tc>
          <w:tcPr>
            <w:tcW w:w="3307" w:type="dxa"/>
          </w:tcPr>
          <w:p w14:paraId="00321BBD" w14:textId="232F78BA" w:rsidR="00C704AD" w:rsidRDefault="00721EDE" w:rsidP="006C5D8E">
            <w:pPr>
              <w:spacing w:before="80"/>
            </w:pPr>
            <w:r w:rsidRPr="00721EDE">
              <w:t>Indicates the likelihood of student success and institutional effectiveness. Key for evaluating the academic environment.</w:t>
            </w:r>
            <w:r w:rsidR="00816EC7" w:rsidDel="00816EC7">
              <w:t xml:space="preserve"> </w:t>
            </w:r>
          </w:p>
        </w:tc>
        <w:tc>
          <w:tcPr>
            <w:tcW w:w="7156" w:type="dxa"/>
          </w:tcPr>
          <w:p w14:paraId="60963628" w14:textId="1158988C" w:rsidR="00767165" w:rsidRDefault="00C42BBA" w:rsidP="006C5D8E">
            <w:pPr>
              <w:spacing w:before="80"/>
            </w:pPr>
            <w:r>
              <w:t xml:space="preserve">Research </w:t>
            </w:r>
            <w:r w:rsidR="00870C96">
              <w:t>shows</w:t>
            </w:r>
            <w:r>
              <w:t xml:space="preserve"> that t</w:t>
            </w:r>
            <w:r w:rsidR="00816EC7">
              <w:t>he overall 6-year graduation rate for first-time, full-time undergraduate students who began seeking a bachelor’s degree at 4-year degree-granting institutions in fall 2014 was 64 percent</w:t>
            </w:r>
            <w:r w:rsidR="3E918035">
              <w:t xml:space="preserve"> (National Center for Education Statistics, 2022).</w:t>
            </w:r>
          </w:p>
          <w:p w14:paraId="1EFB3FC7" w14:textId="67688FA3" w:rsidR="18F33C43" w:rsidRDefault="18F33C43" w:rsidP="18F33C43">
            <w:pPr>
              <w:spacing w:before="80"/>
            </w:pPr>
          </w:p>
          <w:p w14:paraId="36D47FAD" w14:textId="0460A6CA" w:rsidR="3E918035" w:rsidRDefault="3E918035" w:rsidP="18F33C43">
            <w:pPr>
              <w:spacing w:before="80"/>
              <w:rPr>
                <w:rFonts w:ascii="Calibri" w:eastAsia="Calibri" w:hAnsi="Calibri" w:cs="Calibri"/>
              </w:rPr>
            </w:pPr>
            <w:r w:rsidRPr="18F33C43">
              <w:rPr>
                <w:rFonts w:ascii="Calibri" w:eastAsia="Calibri" w:hAnsi="Calibri" w:cs="Calibri"/>
                <w:color w:val="000000" w:themeColor="text1"/>
              </w:rPr>
              <w:t>Research also shows that at 4-year institutions, only about 62% of college students finish their program within six years (National Student Clearinghouse Research Center, 2023). This number is lower for 2-year institutions, where only 34% of students finish their program within 3 years or 150% of normal time required for completion. An example of completing a credential within 150 percent of the normal time is completing a 2-year degree within 3 years. (National Center for Education Statistics, 2022). This means there are many who are still repaying student loans for a non-existent award. (Lee, S. &amp; Shapiro, D., 2023).</w:t>
            </w:r>
          </w:p>
          <w:p w14:paraId="724862AC" w14:textId="1E2C2E26" w:rsidR="00BB2689" w:rsidRDefault="00BB2689" w:rsidP="18F33C43"/>
        </w:tc>
        <w:tc>
          <w:tcPr>
            <w:tcW w:w="1807" w:type="dxa"/>
            <w:vMerge/>
          </w:tcPr>
          <w:p w14:paraId="1D5ED344" w14:textId="1F0DDF9E" w:rsidR="00C704AD" w:rsidRDefault="00C704AD"/>
        </w:tc>
      </w:tr>
      <w:tr w:rsidR="00D879D5" w14:paraId="5AB698D3" w14:textId="77777777" w:rsidTr="18F33C43">
        <w:tc>
          <w:tcPr>
            <w:tcW w:w="1230" w:type="dxa"/>
          </w:tcPr>
          <w:p w14:paraId="57E17379" w14:textId="3D0C6BD0" w:rsidR="00C704AD" w:rsidRDefault="00C704AD" w:rsidP="006C5D8E">
            <w:pPr>
              <w:spacing w:before="80"/>
            </w:pPr>
            <w:r>
              <w:lastRenderedPageBreak/>
              <w:t>Typical earnings</w:t>
            </w:r>
          </w:p>
        </w:tc>
        <w:tc>
          <w:tcPr>
            <w:tcW w:w="3307" w:type="dxa"/>
          </w:tcPr>
          <w:p w14:paraId="7F17CF61" w14:textId="00768D54" w:rsidR="00C704AD" w:rsidRDefault="67F2817D" w:rsidP="006C5D8E">
            <w:pPr>
              <w:spacing w:before="80"/>
            </w:pPr>
            <w:r>
              <w:t xml:space="preserve">One common reasons </w:t>
            </w:r>
            <w:proofErr w:type="gramStart"/>
            <w:r>
              <w:t>students</w:t>
            </w:r>
            <w:proofErr w:type="gramEnd"/>
            <w:r>
              <w:t xml:space="preserve"> cite in choosing to go to college is the expansion of employment opportunities. To that end, data on the earnings and employment prospects of former students can provide key information.</w:t>
            </w:r>
          </w:p>
        </w:tc>
        <w:tc>
          <w:tcPr>
            <w:tcW w:w="7156" w:type="dxa"/>
          </w:tcPr>
          <w:p w14:paraId="0BBDF968" w14:textId="77777777" w:rsidR="00FE52A0" w:rsidRDefault="00FE52A0" w:rsidP="006C5D8E">
            <w:pPr>
              <w:spacing w:before="80"/>
            </w:pPr>
            <w:r>
              <w:t>I</w:t>
            </w:r>
            <w:r w:rsidR="00A11742" w:rsidRPr="00A11742">
              <w:t>mplies that for individuals, assessing potential future earnings and returns from their education should be a part of their decision-making process when considering higher education investments​​.</w:t>
            </w:r>
          </w:p>
          <w:p w14:paraId="509F5C1C" w14:textId="77777777" w:rsidR="00FE52A0" w:rsidRDefault="00FE52A0" w:rsidP="00CD6D34"/>
          <w:p w14:paraId="6C1C5673" w14:textId="03E02491" w:rsidR="00C704AD" w:rsidRDefault="006F6702">
            <w:r w:rsidRPr="006F6702">
              <w:t>Barrow, Lisa, and Ofer Malamud. "Is College a Worthwhile Investment?" Annual Review of Economics 7 (2015): 519-555​</w:t>
            </w:r>
          </w:p>
        </w:tc>
        <w:tc>
          <w:tcPr>
            <w:tcW w:w="1807" w:type="dxa"/>
          </w:tcPr>
          <w:p w14:paraId="4F7BC80E" w14:textId="3C7EEB79" w:rsidR="00C704AD" w:rsidRDefault="00C704AD" w:rsidP="006C5D8E">
            <w:pPr>
              <w:spacing w:before="80"/>
            </w:pPr>
            <w:r>
              <w:t>IRS calculated earnings data based on W-2 and 1040SE filings</w:t>
            </w:r>
          </w:p>
        </w:tc>
      </w:tr>
      <w:tr w:rsidR="00D879D5" w14:paraId="7A4696DA" w14:textId="77777777" w:rsidTr="18F33C43">
        <w:tc>
          <w:tcPr>
            <w:tcW w:w="1230" w:type="dxa"/>
          </w:tcPr>
          <w:p w14:paraId="2A11CB64" w14:textId="2E031F66" w:rsidR="00C704AD" w:rsidRDefault="00C704AD" w:rsidP="006C5D8E">
            <w:pPr>
              <w:spacing w:before="80"/>
            </w:pPr>
            <w:r>
              <w:t>Field of study</w:t>
            </w:r>
          </w:p>
        </w:tc>
        <w:tc>
          <w:tcPr>
            <w:tcW w:w="3307" w:type="dxa"/>
          </w:tcPr>
          <w:p w14:paraId="07B49505" w14:textId="14DB45FC" w:rsidR="00C704AD" w:rsidRDefault="00A45497" w:rsidP="006C5D8E">
            <w:pPr>
              <w:spacing w:before="80"/>
            </w:pPr>
            <w:r w:rsidRPr="00A45497">
              <w:t xml:space="preserve">Highlights </w:t>
            </w:r>
            <w:r>
              <w:t xml:space="preserve">potential </w:t>
            </w:r>
            <w:r w:rsidRPr="00A45497">
              <w:t>outcomes for specific majors, aiding students in choosing a field aligned with their career aspirations and financial goals.</w:t>
            </w:r>
          </w:p>
        </w:tc>
        <w:tc>
          <w:tcPr>
            <w:tcW w:w="7156" w:type="dxa"/>
          </w:tcPr>
          <w:p w14:paraId="727EF522" w14:textId="0A37024C" w:rsidR="00C704AD" w:rsidRDefault="00A45497" w:rsidP="006C5D8E">
            <w:pPr>
              <w:spacing w:before="80"/>
            </w:pPr>
            <w:r>
              <w:t xml:space="preserve">Outcomes for specific fields of study within an institution can vary substantially. For example, for institutions that offered more than one bachelor’s degree, the </w:t>
            </w:r>
            <w:r w:rsidRPr="00B14F6F">
              <w:t>average institution’s highest-earning bachelor’s degree was estimated to be 2.5 times higher than its lowest-earning bachelor’s degree</w:t>
            </w:r>
            <w:r>
              <w:t xml:space="preserve"> on year after completion</w:t>
            </w:r>
            <w:r w:rsidRPr="00B14F6F">
              <w:t>.</w:t>
            </w:r>
          </w:p>
          <w:p w14:paraId="2172E35E" w14:textId="77777777" w:rsidR="003739BD" w:rsidRDefault="003739BD"/>
          <w:p w14:paraId="28BA33C3" w14:textId="00296921" w:rsidR="00D879D5" w:rsidRDefault="00D879D5">
            <w:r w:rsidRPr="00D879D5">
              <w:t xml:space="preserve">U.S. Department of Education. "Field of Study Data Documentation." College Scorecard. Last modified March 2021. </w:t>
            </w:r>
            <w:r w:rsidR="00BB2689" w:rsidRPr="00BB2689">
              <w:t>https://collegescorecard.ed.gov/assets/FieldOfStudyDataDocumentation.pdf</w:t>
            </w:r>
            <w:r w:rsidR="00BB2689">
              <w:t>.</w:t>
            </w:r>
          </w:p>
          <w:p w14:paraId="0ED4F227" w14:textId="77777777" w:rsidR="00E15E27" w:rsidRDefault="00E15E27"/>
          <w:p w14:paraId="0878CFB0" w14:textId="74FD1429" w:rsidR="00E15E27" w:rsidRDefault="00E15E27">
            <w:r w:rsidRPr="00E15E27">
              <w:t xml:space="preserve">Reeves, Richard V., Dimitrios Halikias, and Eleanor Krause. "Putting Your Major to Work: Career Paths after College." Brookings, July 12, 2017. </w:t>
            </w:r>
            <w:r w:rsidR="00BB2689" w:rsidRPr="00BB2689">
              <w:t>https://www.brookings.edu/research/putting-your-major-to-work-career-paths-after-college/</w:t>
            </w:r>
            <w:r w:rsidR="00BB2689">
              <w:t>.</w:t>
            </w:r>
          </w:p>
          <w:p w14:paraId="0DDC4FFC" w14:textId="4BE6350D" w:rsidR="003739BD" w:rsidRDefault="003739BD"/>
        </w:tc>
        <w:tc>
          <w:tcPr>
            <w:tcW w:w="1807" w:type="dxa"/>
          </w:tcPr>
          <w:p w14:paraId="35C5A48D" w14:textId="3996E3CA" w:rsidR="00C704AD" w:rsidRDefault="00C704AD" w:rsidP="006C5D8E">
            <w:pPr>
              <w:spacing w:before="80"/>
            </w:pPr>
            <w:r>
              <w:t xml:space="preserve">IRS calculated earnings data based on W-2 and 1040SE filings.  Federal </w:t>
            </w:r>
            <w:r w:rsidR="00D95EF9">
              <w:t>S</w:t>
            </w:r>
            <w:r>
              <w:t xml:space="preserve">tudent </w:t>
            </w:r>
            <w:r w:rsidR="00D95EF9">
              <w:t>A</w:t>
            </w:r>
            <w:r>
              <w:t>id data systems that track student loans.</w:t>
            </w:r>
          </w:p>
        </w:tc>
      </w:tr>
      <w:tr w:rsidR="00D879D5" w14:paraId="4F62E861" w14:textId="77777777" w:rsidTr="18F33C43">
        <w:tc>
          <w:tcPr>
            <w:tcW w:w="1230" w:type="dxa"/>
          </w:tcPr>
          <w:p w14:paraId="01161D0A" w14:textId="708D6319" w:rsidR="00C704AD" w:rsidRDefault="00C704AD" w:rsidP="006C5D8E">
            <w:pPr>
              <w:spacing w:before="80"/>
            </w:pPr>
            <w:r>
              <w:t>Median loan debt</w:t>
            </w:r>
          </w:p>
        </w:tc>
        <w:tc>
          <w:tcPr>
            <w:tcW w:w="3307" w:type="dxa"/>
          </w:tcPr>
          <w:p w14:paraId="4864B537" w14:textId="702C54BE" w:rsidR="00C704AD" w:rsidRDefault="00994A22" w:rsidP="006C5D8E">
            <w:pPr>
              <w:spacing w:before="80"/>
            </w:pPr>
            <w:r w:rsidRPr="00994A22">
              <w:t>Provides a clear picture of the debt burden, a significant consideration for financial planning</w:t>
            </w:r>
          </w:p>
        </w:tc>
        <w:tc>
          <w:tcPr>
            <w:tcW w:w="7156" w:type="dxa"/>
          </w:tcPr>
          <w:p w14:paraId="2C56C1B3" w14:textId="04B7C620" w:rsidR="00C704AD" w:rsidRDefault="00AE07BF" w:rsidP="006C5D8E">
            <w:pPr>
              <w:spacing w:before="80"/>
            </w:pPr>
            <w:r>
              <w:t xml:space="preserve">Student loans impact many undergraduate students. </w:t>
            </w:r>
            <w:r w:rsidRPr="00F36A54">
              <w:t>In 2020–21, some 38 percent of first-time, full-time degree/certificate-seeking undergraduate students were awarded loan ai</w:t>
            </w:r>
            <w:r w:rsidR="003B4E91">
              <w:t>d</w:t>
            </w:r>
            <w:r w:rsidR="00BB2689">
              <w:t>.</w:t>
            </w:r>
          </w:p>
          <w:p w14:paraId="37BC354F" w14:textId="77777777" w:rsidR="003B4E91" w:rsidRDefault="003B4E91"/>
          <w:p w14:paraId="441B0036" w14:textId="5AE3FA12" w:rsidR="00BB2689" w:rsidRDefault="003B4E91">
            <w:r w:rsidRPr="00322508">
              <w:t xml:space="preserve">National Center for Education Statistics. (2023). Loans for Undergraduate Students and Debt for Bachelor’s Degree Recipients. Condition of Education. U.S. Department of Education, Institute of Education Sciences. Retrieved </w:t>
            </w:r>
            <w:r w:rsidR="00044DC6">
              <w:t>3/6/2024</w:t>
            </w:r>
            <w:r w:rsidRPr="00322508">
              <w:t>, from </w:t>
            </w:r>
            <w:hyperlink r:id="rId10" w:history="1">
              <w:r w:rsidRPr="00322508">
                <w:t>https://nces.ed.gov/programs/coe/indicator/cub</w:t>
              </w:r>
            </w:hyperlink>
            <w:r w:rsidR="00BB2689">
              <w:t xml:space="preserve"> </w:t>
            </w:r>
          </w:p>
          <w:p w14:paraId="1A895E46" w14:textId="4CDC8D06" w:rsidR="003B4E91" w:rsidRDefault="00BB2689">
            <w:r>
              <w:t xml:space="preserve">  </w:t>
            </w:r>
          </w:p>
        </w:tc>
        <w:tc>
          <w:tcPr>
            <w:tcW w:w="1807" w:type="dxa"/>
          </w:tcPr>
          <w:p w14:paraId="5A88DBBE" w14:textId="15B87C3E" w:rsidR="00C704AD" w:rsidRDefault="00C704AD">
            <w:r>
              <w:t xml:space="preserve">Federal </w:t>
            </w:r>
            <w:r w:rsidR="00D95EF9">
              <w:t>S</w:t>
            </w:r>
            <w:r>
              <w:t xml:space="preserve">tudent </w:t>
            </w:r>
            <w:r w:rsidR="00D95EF9">
              <w:t>A</w:t>
            </w:r>
            <w:r>
              <w:t>id data systems that track student loans.</w:t>
            </w:r>
          </w:p>
        </w:tc>
      </w:tr>
      <w:tr w:rsidR="00D879D5" w14:paraId="74BB5C0E" w14:textId="77777777" w:rsidTr="18F33C43">
        <w:tc>
          <w:tcPr>
            <w:tcW w:w="1230" w:type="dxa"/>
          </w:tcPr>
          <w:p w14:paraId="1E75C338" w14:textId="7B470623" w:rsidR="00C704AD" w:rsidRDefault="00C704AD" w:rsidP="006C5D8E">
            <w:pPr>
              <w:spacing w:before="80"/>
            </w:pPr>
            <w:r>
              <w:t>Campus diversity</w:t>
            </w:r>
          </w:p>
        </w:tc>
        <w:tc>
          <w:tcPr>
            <w:tcW w:w="3307" w:type="dxa"/>
          </w:tcPr>
          <w:p w14:paraId="26CEF6D7" w14:textId="3FC1BA81" w:rsidR="00C704AD" w:rsidRDefault="004E5091" w:rsidP="006C5D8E">
            <w:pPr>
              <w:spacing w:before="80"/>
            </w:pPr>
            <w:r w:rsidRPr="004E5091">
              <w:t xml:space="preserve">Diversity has been linked to enhanced problem-solving and performance. It enriches the </w:t>
            </w:r>
            <w:r w:rsidRPr="004E5091">
              <w:lastRenderedPageBreak/>
              <w:t>educational experience, preparing students for a global workforce</w:t>
            </w:r>
            <w:r>
              <w:t xml:space="preserve"> </w:t>
            </w:r>
          </w:p>
        </w:tc>
        <w:tc>
          <w:tcPr>
            <w:tcW w:w="7156" w:type="dxa"/>
          </w:tcPr>
          <w:p w14:paraId="59468B92" w14:textId="77777777" w:rsidR="00C704AD" w:rsidRDefault="00D10733" w:rsidP="006C5D8E">
            <w:pPr>
              <w:spacing w:before="80"/>
            </w:pPr>
            <w:r w:rsidRPr="008D4D22">
              <w:lastRenderedPageBreak/>
              <w:t xml:space="preserve">Groups of more diverse problem solvers have been found to outperform groups of less diverse problem solvers, and companies with more diversity in their leadership also tend to be top financial performers. </w:t>
            </w:r>
            <w:r w:rsidR="00FC78A5">
              <w:t xml:space="preserve">Research suggests </w:t>
            </w:r>
            <w:r w:rsidR="00FC78A5">
              <w:lastRenderedPageBreak/>
              <w:t>that employers “</w:t>
            </w:r>
            <w:r w:rsidR="00FC78A5" w:rsidRPr="00FC78A5">
              <w:t>encourage a more diversified workforce and create awareness to increase organizational performance.</w:t>
            </w:r>
            <w:r w:rsidR="00FC78A5">
              <w:t>”</w:t>
            </w:r>
            <w:r w:rsidR="00FC6677">
              <w:t xml:space="preserve"> (Turi, J.A., et al</w:t>
            </w:r>
            <w:r w:rsidR="002E637B">
              <w:t>.</w:t>
            </w:r>
            <w:r w:rsidR="00FC6677">
              <w:t>, 2022)</w:t>
            </w:r>
          </w:p>
          <w:p w14:paraId="761E1ED0" w14:textId="7A184337" w:rsidR="00BB2689" w:rsidRDefault="00BB2689" w:rsidP="006C5D8E">
            <w:pPr>
              <w:spacing w:before="80"/>
            </w:pPr>
          </w:p>
        </w:tc>
        <w:tc>
          <w:tcPr>
            <w:tcW w:w="1807" w:type="dxa"/>
            <w:vMerge w:val="restart"/>
          </w:tcPr>
          <w:p w14:paraId="6CE0521F" w14:textId="791A0426" w:rsidR="00C704AD" w:rsidRDefault="00C704AD">
            <w:r>
              <w:lastRenderedPageBreak/>
              <w:t xml:space="preserve">United States Department of Education, </w:t>
            </w:r>
            <w:r>
              <w:lastRenderedPageBreak/>
              <w:t>National Center for Education Statistics based on data reported from individual schools with consistent methodology and data definitions.</w:t>
            </w:r>
          </w:p>
        </w:tc>
      </w:tr>
      <w:tr w:rsidR="00D879D5" w14:paraId="59C6D06A" w14:textId="77777777" w:rsidTr="18F33C43">
        <w:tc>
          <w:tcPr>
            <w:tcW w:w="1230" w:type="dxa"/>
          </w:tcPr>
          <w:p w14:paraId="1F1F6AF6" w14:textId="1BA3A0B2" w:rsidR="00C704AD" w:rsidRDefault="00C704AD" w:rsidP="006C5D8E">
            <w:pPr>
              <w:spacing w:before="80"/>
            </w:pPr>
            <w:r>
              <w:lastRenderedPageBreak/>
              <w:t>Test scores and acceptance</w:t>
            </w:r>
          </w:p>
        </w:tc>
        <w:tc>
          <w:tcPr>
            <w:tcW w:w="3307" w:type="dxa"/>
          </w:tcPr>
          <w:p w14:paraId="13572355" w14:textId="7CB5E190" w:rsidR="00C704AD" w:rsidRDefault="00DD1D89" w:rsidP="006C5D8E">
            <w:pPr>
              <w:spacing w:before="80"/>
            </w:pPr>
            <w:r w:rsidRPr="00DD1D89">
              <w:t>Assists in targeting schools where students have a realistic chance of admission, making the search more efficient.</w:t>
            </w:r>
          </w:p>
        </w:tc>
        <w:tc>
          <w:tcPr>
            <w:tcW w:w="7156" w:type="dxa"/>
          </w:tcPr>
          <w:p w14:paraId="68F69DC7" w14:textId="39F5DFC2" w:rsidR="00C704AD" w:rsidRDefault="7C57143E" w:rsidP="006C5D8E">
            <w:pPr>
              <w:spacing w:before="80"/>
            </w:pPr>
            <w:r>
              <w:t>Efficient school searches focus on schools where a prospective studen</w:t>
            </w:r>
            <w:r w:rsidR="1491DD10">
              <w:t>t might be</w:t>
            </w:r>
            <w:r>
              <w:t xml:space="preserve"> admitt</w:t>
            </w:r>
            <w:r w:rsidR="0EF927E8">
              <w:t xml:space="preserve">ed and succeed. </w:t>
            </w:r>
            <w:r w:rsidR="5AC801D8">
              <w:t>College advisors should assist students in searching for colleges that match their qualifications, interests, and goals.</w:t>
            </w:r>
            <w:r w:rsidR="62D2333E">
              <w:t xml:space="preserve"> Students are encouraged to apply to multiple colleges to help them find a matching school and apply for a backup college to which they are more confident about being admitted</w:t>
            </w:r>
            <w:r w:rsidR="02BFDFE4">
              <w:t xml:space="preserve"> while</w:t>
            </w:r>
            <w:r w:rsidR="7C5AAF59">
              <w:t xml:space="preserve"> </w:t>
            </w:r>
            <w:r w:rsidR="02BFDFE4">
              <w:t>considering</w:t>
            </w:r>
            <w:r w:rsidR="7C5AAF59">
              <w:t xml:space="preserve"> the required test scores </w:t>
            </w:r>
            <w:r w:rsidR="02BFDFE4">
              <w:t>needed for admission</w:t>
            </w:r>
            <w:r w:rsidR="62D2333E">
              <w:t xml:space="preserve">. </w:t>
            </w:r>
          </w:p>
          <w:p w14:paraId="36BF3341" w14:textId="77777777" w:rsidR="009932B1" w:rsidRDefault="009932B1"/>
          <w:p w14:paraId="04138146" w14:textId="2785902D" w:rsidR="00DE12BB" w:rsidRDefault="20ED47F9">
            <w:r>
              <w:t>Over the years,</w:t>
            </w:r>
            <w:r w:rsidR="2928DEEA">
              <w:t xml:space="preserve"> studies have shown that various achievement tests, like SAT and ACT, may predict college performance</w:t>
            </w:r>
            <w:r w:rsidR="2B5464D2">
              <w:t>.</w:t>
            </w:r>
            <w:r w:rsidR="0D1E4DC6">
              <w:t xml:space="preserve"> However, many schools have </w:t>
            </w:r>
            <w:r w:rsidR="4DB4A23C">
              <w:t xml:space="preserve">shied away from requiring test scores, especially during and post-pandemic. </w:t>
            </w:r>
            <w:r w:rsidR="1DAB7B27">
              <w:t>Current research has indicated that SAT and ACT scores</w:t>
            </w:r>
            <w:r w:rsidR="63428DF1">
              <w:t xml:space="preserve"> </w:t>
            </w:r>
            <w:r w:rsidR="35AEF314">
              <w:t>help in college admission decisions</w:t>
            </w:r>
            <w:r w:rsidR="63428DF1">
              <w:t xml:space="preserve"> </w:t>
            </w:r>
            <w:r w:rsidR="1DAB7B27">
              <w:t xml:space="preserve">for many universities. In a </w:t>
            </w:r>
            <w:r w:rsidR="53493284">
              <w:t xml:space="preserve">recent </w:t>
            </w:r>
            <w:r w:rsidR="1DAB7B27">
              <w:t xml:space="preserve">paper </w:t>
            </w:r>
            <w:r w:rsidR="58990922">
              <w:t xml:space="preserve">Chetty, Deming, and Friedman </w:t>
            </w:r>
            <w:r w:rsidR="13FF4FB2">
              <w:t xml:space="preserve">discuss the </w:t>
            </w:r>
            <w:r w:rsidR="58990922">
              <w:t>relationship between standardized test scores and</w:t>
            </w:r>
            <w:r w:rsidR="7B9920D1">
              <w:t xml:space="preserve"> college</w:t>
            </w:r>
            <w:r w:rsidR="58990922">
              <w:t xml:space="preserve"> GPAs</w:t>
            </w:r>
            <w:r w:rsidR="65F8C38E">
              <w:t xml:space="preserve">. They concluded these three things: </w:t>
            </w:r>
          </w:p>
          <w:p w14:paraId="4B935993" w14:textId="71D2EA34" w:rsidR="00DE12BB" w:rsidRDefault="00DE12BB"/>
          <w:p w14:paraId="7D383AA4" w14:textId="77777777" w:rsidR="006C5D8E" w:rsidRDefault="473DC3B8" w:rsidP="006C5D8E">
            <w:pPr>
              <w:pStyle w:val="ListParagraph"/>
              <w:numPr>
                <w:ilvl w:val="0"/>
                <w:numId w:val="3"/>
              </w:numPr>
            </w:pPr>
            <w:r>
              <w:t>There is a correlation between students with higher</w:t>
            </w:r>
            <w:r w:rsidR="65F8C38E">
              <w:t xml:space="preserve"> SAT/ACT scores</w:t>
            </w:r>
            <w:r w:rsidR="374B98A9">
              <w:t xml:space="preserve"> and</w:t>
            </w:r>
            <w:r w:rsidR="65F8C38E">
              <w:t xml:space="preserve"> higher college GPAs </w:t>
            </w:r>
            <w:r w:rsidR="64903E24">
              <w:t xml:space="preserve">as compared to </w:t>
            </w:r>
            <w:r w:rsidR="65F8C38E">
              <w:t>peers with lower</w:t>
            </w:r>
            <w:r w:rsidR="30B0CACE">
              <w:t xml:space="preserve"> SAT/ACT</w:t>
            </w:r>
            <w:r w:rsidR="65F8C38E">
              <w:t xml:space="preserve"> </w:t>
            </w:r>
            <w:proofErr w:type="gramStart"/>
            <w:r w:rsidR="65F8C38E">
              <w:t>scores;</w:t>
            </w:r>
            <w:proofErr w:type="gramEnd"/>
            <w:r w:rsidR="65F8C38E">
              <w:t xml:space="preserve"> </w:t>
            </w:r>
          </w:p>
          <w:p w14:paraId="3338C801" w14:textId="24982E62" w:rsidR="00DE12BB" w:rsidRDefault="65F8C38E" w:rsidP="006C5D8E">
            <w:pPr>
              <w:pStyle w:val="ListParagraph"/>
              <w:numPr>
                <w:ilvl w:val="0"/>
                <w:numId w:val="3"/>
              </w:numPr>
            </w:pPr>
            <w:r>
              <w:t xml:space="preserve">High school GPA does </w:t>
            </w:r>
            <w:r w:rsidR="5276162D">
              <w:t xml:space="preserve">not predict </w:t>
            </w:r>
            <w:r>
              <w:t>academic success in college; and</w:t>
            </w:r>
          </w:p>
          <w:p w14:paraId="78E80C14" w14:textId="7CE5B3E7" w:rsidR="00DE12BB" w:rsidRDefault="169E0B42" w:rsidP="006C5D8E">
            <w:pPr>
              <w:pStyle w:val="ListParagraph"/>
              <w:numPr>
                <w:ilvl w:val="0"/>
                <w:numId w:val="3"/>
              </w:numPr>
            </w:pPr>
            <w:r>
              <w:t xml:space="preserve">There is a correlation between SAT/ACT scores and </w:t>
            </w:r>
            <w:r w:rsidR="0E827327">
              <w:t xml:space="preserve">comparable </w:t>
            </w:r>
            <w:r>
              <w:t>college grades for s</w:t>
            </w:r>
            <w:r w:rsidR="65F8C38E">
              <w:t>tudents from different socioeconomic backgrounds.  (Chetty</w:t>
            </w:r>
            <w:r w:rsidR="03F01B59">
              <w:t>, et al., 202</w:t>
            </w:r>
            <w:r w:rsidR="1B80DCBF">
              <w:t>4</w:t>
            </w:r>
            <w:r w:rsidR="03F01B59">
              <w:t>)</w:t>
            </w:r>
          </w:p>
          <w:p w14:paraId="16C0FAE0" w14:textId="7AC40EA8" w:rsidR="00DE12BB" w:rsidRDefault="00DE12BB" w:rsidP="4A1ED90F"/>
        </w:tc>
        <w:tc>
          <w:tcPr>
            <w:tcW w:w="1807" w:type="dxa"/>
            <w:vMerge/>
          </w:tcPr>
          <w:p w14:paraId="10F31DB1" w14:textId="4FC6C002" w:rsidR="00C704AD" w:rsidRDefault="00C704AD"/>
        </w:tc>
      </w:tr>
    </w:tbl>
    <w:p w14:paraId="6034FBDE" w14:textId="4768B2EC" w:rsidR="00B67129" w:rsidRDefault="00B67129"/>
    <w:p w14:paraId="16A4DB35" w14:textId="77777777" w:rsidR="00B67129" w:rsidRDefault="00B67129">
      <w:r>
        <w:br w:type="page"/>
      </w:r>
    </w:p>
    <w:p w14:paraId="0CD770D8" w14:textId="4A9C1095" w:rsidR="00036D6E" w:rsidRPr="00BF44BA" w:rsidRDefault="000B4506">
      <w:pPr>
        <w:rPr>
          <w:b/>
          <w:bCs/>
        </w:rPr>
      </w:pPr>
      <w:r w:rsidRPr="00BF44BA">
        <w:rPr>
          <w:b/>
          <w:bCs/>
        </w:rPr>
        <w:lastRenderedPageBreak/>
        <w:t xml:space="preserve">References </w:t>
      </w:r>
    </w:p>
    <w:p w14:paraId="15BE100C" w14:textId="26A66854" w:rsidR="7D075BB4" w:rsidRDefault="7D075BB4" w:rsidP="4A1ED90F">
      <w:pPr>
        <w:ind w:left="720" w:hanging="720"/>
      </w:pPr>
      <w:r>
        <w:t xml:space="preserve">Chetty, R., Deming, D., &amp; Friedman, J. (2023). Diversifying Society’s leaders? the determinants and ... www.opportunityinsights.org. </w:t>
      </w:r>
      <w:r w:rsidR="006C5D8E" w:rsidRPr="00BB2689">
        <w:t>https://opportunityinsights.org/wp-content/uploads/2023/07/CollegeAdmissions_Paper.pdf</w:t>
      </w:r>
      <w:r w:rsidR="006C5D8E">
        <w:t xml:space="preserve"> </w:t>
      </w:r>
    </w:p>
    <w:p w14:paraId="25CF6EDA" w14:textId="65F341BA" w:rsidR="000B4506" w:rsidRDefault="000B4506" w:rsidP="00A312EE">
      <w:pPr>
        <w:ind w:left="720" w:hanging="720"/>
      </w:pPr>
      <w:r>
        <w:t xml:space="preserve">College scorecard institution-level data. (n.d.). </w:t>
      </w:r>
      <w:r w:rsidRPr="00BB2689">
        <w:t>https://collegescorecard.ed.gov/assets/InstitutionDataDocumentation.pdf</w:t>
      </w:r>
      <w:r>
        <w:t>.</w:t>
      </w:r>
    </w:p>
    <w:p w14:paraId="613147CE" w14:textId="4072940D" w:rsidR="003F630A" w:rsidRDefault="003F630A" w:rsidP="00A312EE">
      <w:pPr>
        <w:ind w:left="720" w:hanging="720"/>
      </w:pPr>
      <w:r>
        <w:t>Helping students navigate the path to college: What high ... (n.d.). https://ies.ed.gov/ncee/wwc/Docs/PracticeGuide/higher_ed_pg_091509.pdf</w:t>
      </w:r>
    </w:p>
    <w:p w14:paraId="447D60BD" w14:textId="0D28A45D" w:rsidR="00525956" w:rsidRDefault="00525956" w:rsidP="18F33C43">
      <w:r w:rsidRPr="18F33C43">
        <w:rPr>
          <w:rFonts w:ascii="Calibri" w:eastAsia="Calibri" w:hAnsi="Calibri" w:cs="Calibri"/>
          <w:color w:val="000000" w:themeColor="text1"/>
        </w:rPr>
        <w:t xml:space="preserve">Lee, S. &amp; Shapiro, D. (November 2023), Completing College: National and State Report with Longitudinal Data Dashboard on Six- and Eight-Year Completion Rates. (Signature Report 22), Herndon, VA: National Student Clearinghouse Research Center </w:t>
      </w:r>
      <w:r w:rsidRPr="18F33C43">
        <w:rPr>
          <w:rFonts w:ascii="Calibri" w:eastAsia="Calibri" w:hAnsi="Calibri" w:cs="Calibri"/>
          <w:sz w:val="24"/>
          <w:szCs w:val="24"/>
        </w:rPr>
        <w:t xml:space="preserve"> </w:t>
      </w:r>
    </w:p>
    <w:p w14:paraId="4A2292F0" w14:textId="28682AB5" w:rsidR="12A7FAC3" w:rsidRDefault="12A7FAC3">
      <w:r>
        <w:t>National Center for Education Statistics. (2022). Undergraduate Retention and Graduation Rates. Condition of Education. U.S. Department of Education, Institute of Education Sciences.</w:t>
      </w:r>
    </w:p>
    <w:p w14:paraId="2DA4CAF2" w14:textId="2895E50D" w:rsidR="002E637B" w:rsidRDefault="002E637B" w:rsidP="00A312EE">
      <w:pPr>
        <w:ind w:left="720" w:hanging="720"/>
      </w:pPr>
      <w:r w:rsidRPr="002E637B">
        <w:t xml:space="preserve">Turi, J. A., </w:t>
      </w:r>
      <w:proofErr w:type="spellStart"/>
      <w:r w:rsidRPr="002E637B">
        <w:t>Khastoori</w:t>
      </w:r>
      <w:proofErr w:type="spellEnd"/>
      <w:r w:rsidRPr="002E637B">
        <w:t xml:space="preserve">, S., </w:t>
      </w:r>
      <w:proofErr w:type="spellStart"/>
      <w:r w:rsidRPr="002E637B">
        <w:t>Sorooshian</w:t>
      </w:r>
      <w:proofErr w:type="spellEnd"/>
      <w:r w:rsidRPr="002E637B">
        <w:t>, S., &amp; Campbell, N. (2022). Diversity impact on organizational performance: Moderating and mediating role of diversity beliefs and leadership expertise. </w:t>
      </w:r>
      <w:proofErr w:type="spellStart"/>
      <w:r w:rsidRPr="002E637B">
        <w:t>PloS</w:t>
      </w:r>
      <w:proofErr w:type="spellEnd"/>
      <w:r w:rsidRPr="002E637B">
        <w:t xml:space="preserve"> one, 17(7), e0270813.</w:t>
      </w:r>
    </w:p>
    <w:p w14:paraId="00775186" w14:textId="77777777" w:rsidR="000B4506" w:rsidRDefault="000B4506"/>
    <w:sectPr w:rsidR="000B4506" w:rsidSect="000F1BF1">
      <w:footerReference w:type="even" r:id="rId11"/>
      <w:footerReference w:type="default" r:id="rId12"/>
      <w:pgSz w:w="15840" w:h="12240" w:orient="landscape"/>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4DBDD" w14:textId="77777777" w:rsidR="00CC0449" w:rsidRDefault="00CC0449" w:rsidP="00D30F31">
      <w:pPr>
        <w:spacing w:after="0" w:line="240" w:lineRule="auto"/>
      </w:pPr>
      <w:r>
        <w:separator/>
      </w:r>
    </w:p>
  </w:endnote>
  <w:endnote w:type="continuationSeparator" w:id="0">
    <w:p w14:paraId="1C3026B1" w14:textId="77777777" w:rsidR="00CC0449" w:rsidRDefault="00CC0449" w:rsidP="00D30F31">
      <w:pPr>
        <w:spacing w:after="0" w:line="240" w:lineRule="auto"/>
      </w:pPr>
      <w:r>
        <w:continuationSeparator/>
      </w:r>
    </w:p>
  </w:endnote>
  <w:endnote w:type="continuationNotice" w:id="1">
    <w:p w14:paraId="54123F93" w14:textId="77777777" w:rsidR="00CC0449" w:rsidRDefault="00CC0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7648874"/>
      <w:docPartObj>
        <w:docPartGallery w:val="Page Numbers (Bottom of Page)"/>
        <w:docPartUnique/>
      </w:docPartObj>
    </w:sdtPr>
    <w:sdtEndPr>
      <w:rPr>
        <w:rStyle w:val="PageNumber"/>
      </w:rPr>
    </w:sdtEndPr>
    <w:sdtContent>
      <w:p w14:paraId="3CF2FB40" w14:textId="47560395" w:rsidR="006C5D8E" w:rsidRDefault="006C5D8E" w:rsidP="00C30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09076" w14:textId="77777777" w:rsidR="006C5D8E" w:rsidRDefault="006C5D8E" w:rsidP="006C5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9753145"/>
      <w:docPartObj>
        <w:docPartGallery w:val="Page Numbers (Bottom of Page)"/>
        <w:docPartUnique/>
      </w:docPartObj>
    </w:sdtPr>
    <w:sdtEndPr>
      <w:rPr>
        <w:rStyle w:val="PageNumber"/>
      </w:rPr>
    </w:sdtEndPr>
    <w:sdtContent>
      <w:p w14:paraId="4D7914AD" w14:textId="46F0202E" w:rsidR="006C5D8E" w:rsidRDefault="006C5D8E" w:rsidP="00C303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044933" w14:textId="77777777" w:rsidR="006C5D8E" w:rsidRDefault="006C5D8E" w:rsidP="006C5D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F1769" w14:textId="77777777" w:rsidR="00CC0449" w:rsidRDefault="00CC0449" w:rsidP="00D30F31">
      <w:pPr>
        <w:spacing w:after="0" w:line="240" w:lineRule="auto"/>
      </w:pPr>
      <w:r>
        <w:separator/>
      </w:r>
    </w:p>
  </w:footnote>
  <w:footnote w:type="continuationSeparator" w:id="0">
    <w:p w14:paraId="0E99FC1D" w14:textId="77777777" w:rsidR="00CC0449" w:rsidRDefault="00CC0449" w:rsidP="00D30F31">
      <w:pPr>
        <w:spacing w:after="0" w:line="240" w:lineRule="auto"/>
      </w:pPr>
      <w:r>
        <w:continuationSeparator/>
      </w:r>
    </w:p>
  </w:footnote>
  <w:footnote w:type="continuationNotice" w:id="1">
    <w:p w14:paraId="21FC5CA2" w14:textId="77777777" w:rsidR="00CC0449" w:rsidRDefault="00CC04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B4970"/>
    <w:multiLevelType w:val="hybridMultilevel"/>
    <w:tmpl w:val="3A22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91443"/>
    <w:multiLevelType w:val="hybridMultilevel"/>
    <w:tmpl w:val="413E3FB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F9901D1"/>
    <w:multiLevelType w:val="hybridMultilevel"/>
    <w:tmpl w:val="DDB2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732265">
    <w:abstractNumId w:val="2"/>
  </w:num>
  <w:num w:numId="2" w16cid:durableId="222184676">
    <w:abstractNumId w:val="0"/>
  </w:num>
  <w:num w:numId="3" w16cid:durableId="206833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dgnword-docGUID" w:val="{AD4B497B-FC8B-40FA-B39F-740BA0DC4BEC}"/>
    <w:docVar w:name="dgnword-eventsink" w:val="1413742822208"/>
  </w:docVars>
  <w:rsids>
    <w:rsidRoot w:val="008C18A8"/>
    <w:rsid w:val="00036D6E"/>
    <w:rsid w:val="00037881"/>
    <w:rsid w:val="00044DC6"/>
    <w:rsid w:val="00074758"/>
    <w:rsid w:val="00086B11"/>
    <w:rsid w:val="00093EE1"/>
    <w:rsid w:val="00096596"/>
    <w:rsid w:val="00096FFB"/>
    <w:rsid w:val="000A15F5"/>
    <w:rsid w:val="000B4506"/>
    <w:rsid w:val="000F1BF1"/>
    <w:rsid w:val="00125BB3"/>
    <w:rsid w:val="00130D52"/>
    <w:rsid w:val="001573D5"/>
    <w:rsid w:val="001623F3"/>
    <w:rsid w:val="00171E52"/>
    <w:rsid w:val="0017601B"/>
    <w:rsid w:val="001B37B7"/>
    <w:rsid w:val="001D5C4A"/>
    <w:rsid w:val="001E4478"/>
    <w:rsid w:val="00212973"/>
    <w:rsid w:val="00226556"/>
    <w:rsid w:val="00233891"/>
    <w:rsid w:val="00246A60"/>
    <w:rsid w:val="00250AB3"/>
    <w:rsid w:val="00257CD9"/>
    <w:rsid w:val="002929C6"/>
    <w:rsid w:val="002B5987"/>
    <w:rsid w:val="002E56F8"/>
    <w:rsid w:val="002E637B"/>
    <w:rsid w:val="00322508"/>
    <w:rsid w:val="003410A2"/>
    <w:rsid w:val="003710AC"/>
    <w:rsid w:val="003739BD"/>
    <w:rsid w:val="00396CCD"/>
    <w:rsid w:val="003A411E"/>
    <w:rsid w:val="003B4E91"/>
    <w:rsid w:val="003C13A0"/>
    <w:rsid w:val="003C28EE"/>
    <w:rsid w:val="003D7F96"/>
    <w:rsid w:val="003E2B75"/>
    <w:rsid w:val="003F630A"/>
    <w:rsid w:val="004250BE"/>
    <w:rsid w:val="00474F48"/>
    <w:rsid w:val="004A359F"/>
    <w:rsid w:val="004A7DD9"/>
    <w:rsid w:val="004B22C9"/>
    <w:rsid w:val="004E5091"/>
    <w:rsid w:val="004F076D"/>
    <w:rsid w:val="00503587"/>
    <w:rsid w:val="00506E55"/>
    <w:rsid w:val="00525956"/>
    <w:rsid w:val="00535157"/>
    <w:rsid w:val="005566F8"/>
    <w:rsid w:val="0056382C"/>
    <w:rsid w:val="005726EB"/>
    <w:rsid w:val="005972AF"/>
    <w:rsid w:val="005A785B"/>
    <w:rsid w:val="005B32EA"/>
    <w:rsid w:val="005B5E08"/>
    <w:rsid w:val="005F3713"/>
    <w:rsid w:val="005F5AB5"/>
    <w:rsid w:val="006151CB"/>
    <w:rsid w:val="00621F0D"/>
    <w:rsid w:val="00641A6C"/>
    <w:rsid w:val="0065306F"/>
    <w:rsid w:val="00660811"/>
    <w:rsid w:val="0068321E"/>
    <w:rsid w:val="006A0C6D"/>
    <w:rsid w:val="006C1DD4"/>
    <w:rsid w:val="006C45A9"/>
    <w:rsid w:val="006C5D8E"/>
    <w:rsid w:val="006C6815"/>
    <w:rsid w:val="006F6702"/>
    <w:rsid w:val="0072079F"/>
    <w:rsid w:val="00721EDE"/>
    <w:rsid w:val="0076706C"/>
    <w:rsid w:val="00767165"/>
    <w:rsid w:val="007852F8"/>
    <w:rsid w:val="007865E8"/>
    <w:rsid w:val="00790A06"/>
    <w:rsid w:val="007941DF"/>
    <w:rsid w:val="007A2451"/>
    <w:rsid w:val="007B1FA4"/>
    <w:rsid w:val="007B7111"/>
    <w:rsid w:val="007C4298"/>
    <w:rsid w:val="007FE3D2"/>
    <w:rsid w:val="00814F82"/>
    <w:rsid w:val="00816EC7"/>
    <w:rsid w:val="00835EA9"/>
    <w:rsid w:val="00870C96"/>
    <w:rsid w:val="008829EA"/>
    <w:rsid w:val="008917F8"/>
    <w:rsid w:val="008B2119"/>
    <w:rsid w:val="008C18A8"/>
    <w:rsid w:val="008C4BCA"/>
    <w:rsid w:val="008C618F"/>
    <w:rsid w:val="008C728E"/>
    <w:rsid w:val="008D4D22"/>
    <w:rsid w:val="008D7673"/>
    <w:rsid w:val="0091077F"/>
    <w:rsid w:val="00912B9F"/>
    <w:rsid w:val="00920DAE"/>
    <w:rsid w:val="0092188E"/>
    <w:rsid w:val="00973660"/>
    <w:rsid w:val="009904B8"/>
    <w:rsid w:val="009932B1"/>
    <w:rsid w:val="00994A22"/>
    <w:rsid w:val="009B185B"/>
    <w:rsid w:val="00A0307E"/>
    <w:rsid w:val="00A11742"/>
    <w:rsid w:val="00A219DB"/>
    <w:rsid w:val="00A312EE"/>
    <w:rsid w:val="00A45497"/>
    <w:rsid w:val="00A55301"/>
    <w:rsid w:val="00AC324B"/>
    <w:rsid w:val="00AC4EC3"/>
    <w:rsid w:val="00AE07BF"/>
    <w:rsid w:val="00AE5851"/>
    <w:rsid w:val="00B14F6F"/>
    <w:rsid w:val="00B27B8F"/>
    <w:rsid w:val="00B37A23"/>
    <w:rsid w:val="00B41FB0"/>
    <w:rsid w:val="00B57617"/>
    <w:rsid w:val="00B64CD1"/>
    <w:rsid w:val="00B67129"/>
    <w:rsid w:val="00B735BE"/>
    <w:rsid w:val="00B95B93"/>
    <w:rsid w:val="00BA12D0"/>
    <w:rsid w:val="00BA2BA7"/>
    <w:rsid w:val="00BA5452"/>
    <w:rsid w:val="00BB2689"/>
    <w:rsid w:val="00BC2AAB"/>
    <w:rsid w:val="00BD3C68"/>
    <w:rsid w:val="00BE66B7"/>
    <w:rsid w:val="00BF085B"/>
    <w:rsid w:val="00BF44BA"/>
    <w:rsid w:val="00C052E1"/>
    <w:rsid w:val="00C06DA2"/>
    <w:rsid w:val="00C07EB2"/>
    <w:rsid w:val="00C151AF"/>
    <w:rsid w:val="00C227D0"/>
    <w:rsid w:val="00C2505D"/>
    <w:rsid w:val="00C42BBA"/>
    <w:rsid w:val="00C51168"/>
    <w:rsid w:val="00C57101"/>
    <w:rsid w:val="00C704AD"/>
    <w:rsid w:val="00C7743B"/>
    <w:rsid w:val="00C81132"/>
    <w:rsid w:val="00C950DE"/>
    <w:rsid w:val="00CC0449"/>
    <w:rsid w:val="00CD3D8A"/>
    <w:rsid w:val="00CD40DA"/>
    <w:rsid w:val="00CD6D34"/>
    <w:rsid w:val="00CE514C"/>
    <w:rsid w:val="00D10733"/>
    <w:rsid w:val="00D203FA"/>
    <w:rsid w:val="00D20472"/>
    <w:rsid w:val="00D30F31"/>
    <w:rsid w:val="00D31685"/>
    <w:rsid w:val="00D66EE0"/>
    <w:rsid w:val="00D80291"/>
    <w:rsid w:val="00D879D5"/>
    <w:rsid w:val="00D91CEA"/>
    <w:rsid w:val="00D95EF9"/>
    <w:rsid w:val="00DA47BA"/>
    <w:rsid w:val="00DC267F"/>
    <w:rsid w:val="00DC3930"/>
    <w:rsid w:val="00DC3C60"/>
    <w:rsid w:val="00DC76C1"/>
    <w:rsid w:val="00DD1D89"/>
    <w:rsid w:val="00DD46E3"/>
    <w:rsid w:val="00DE02A6"/>
    <w:rsid w:val="00DE12BB"/>
    <w:rsid w:val="00DF53B1"/>
    <w:rsid w:val="00E07522"/>
    <w:rsid w:val="00E110E9"/>
    <w:rsid w:val="00E15E27"/>
    <w:rsid w:val="00E447ED"/>
    <w:rsid w:val="00E87A1F"/>
    <w:rsid w:val="00E96830"/>
    <w:rsid w:val="00EA2E08"/>
    <w:rsid w:val="00EA758F"/>
    <w:rsid w:val="00EC5790"/>
    <w:rsid w:val="00ED4B6C"/>
    <w:rsid w:val="00EE089F"/>
    <w:rsid w:val="00EF52C4"/>
    <w:rsid w:val="00F04349"/>
    <w:rsid w:val="00F358AB"/>
    <w:rsid w:val="00F36308"/>
    <w:rsid w:val="00F36A54"/>
    <w:rsid w:val="00F5493E"/>
    <w:rsid w:val="00F653FF"/>
    <w:rsid w:val="00F74FB6"/>
    <w:rsid w:val="00F8521E"/>
    <w:rsid w:val="00FB2B63"/>
    <w:rsid w:val="00FC6677"/>
    <w:rsid w:val="00FC78A5"/>
    <w:rsid w:val="00FD064B"/>
    <w:rsid w:val="00FD3729"/>
    <w:rsid w:val="00FE52A0"/>
    <w:rsid w:val="00FF36C8"/>
    <w:rsid w:val="013C2C07"/>
    <w:rsid w:val="02BFDFE4"/>
    <w:rsid w:val="02D1AD40"/>
    <w:rsid w:val="02D7FC68"/>
    <w:rsid w:val="03F01B59"/>
    <w:rsid w:val="0473CCC9"/>
    <w:rsid w:val="0D1E4DC6"/>
    <w:rsid w:val="0E827327"/>
    <w:rsid w:val="0EF927E8"/>
    <w:rsid w:val="0F0224C1"/>
    <w:rsid w:val="109DF522"/>
    <w:rsid w:val="115A3D57"/>
    <w:rsid w:val="12A7FAC3"/>
    <w:rsid w:val="13FF4FB2"/>
    <w:rsid w:val="1491DD10"/>
    <w:rsid w:val="1491DE19"/>
    <w:rsid w:val="1538DA95"/>
    <w:rsid w:val="169E0B42"/>
    <w:rsid w:val="18F33C43"/>
    <w:rsid w:val="1B649AC3"/>
    <w:rsid w:val="1B80DCBF"/>
    <w:rsid w:val="1BC65B43"/>
    <w:rsid w:val="1C74F476"/>
    <w:rsid w:val="1D95AB3A"/>
    <w:rsid w:val="1DAB7B27"/>
    <w:rsid w:val="1FF2ECED"/>
    <w:rsid w:val="20ED47F9"/>
    <w:rsid w:val="271E6CDA"/>
    <w:rsid w:val="28BA3D3B"/>
    <w:rsid w:val="2928DEEA"/>
    <w:rsid w:val="2A26EED7"/>
    <w:rsid w:val="2B5464D2"/>
    <w:rsid w:val="30B0CACE"/>
    <w:rsid w:val="31F1ED97"/>
    <w:rsid w:val="33FCEFE2"/>
    <w:rsid w:val="35AEF314"/>
    <w:rsid w:val="374B98A9"/>
    <w:rsid w:val="381D7B80"/>
    <w:rsid w:val="3DA703EE"/>
    <w:rsid w:val="3E918035"/>
    <w:rsid w:val="4431660D"/>
    <w:rsid w:val="473DC3B8"/>
    <w:rsid w:val="47DA3BBE"/>
    <w:rsid w:val="4A1ED90F"/>
    <w:rsid w:val="4B358BB6"/>
    <w:rsid w:val="4DB4A23C"/>
    <w:rsid w:val="4FDCD2E6"/>
    <w:rsid w:val="506A28D4"/>
    <w:rsid w:val="5276162D"/>
    <w:rsid w:val="53493284"/>
    <w:rsid w:val="5488FEBD"/>
    <w:rsid w:val="55955295"/>
    <w:rsid w:val="58990922"/>
    <w:rsid w:val="5AC801D8"/>
    <w:rsid w:val="61A4473B"/>
    <w:rsid w:val="62D2333E"/>
    <w:rsid w:val="63428DF1"/>
    <w:rsid w:val="64903E24"/>
    <w:rsid w:val="65E8432B"/>
    <w:rsid w:val="65F8C38E"/>
    <w:rsid w:val="662C0B2A"/>
    <w:rsid w:val="67F2817D"/>
    <w:rsid w:val="6955C19E"/>
    <w:rsid w:val="72FBDB53"/>
    <w:rsid w:val="7373D696"/>
    <w:rsid w:val="7846B987"/>
    <w:rsid w:val="7B026D02"/>
    <w:rsid w:val="7B9920D1"/>
    <w:rsid w:val="7C57143E"/>
    <w:rsid w:val="7C5AAF59"/>
    <w:rsid w:val="7D075BB4"/>
    <w:rsid w:val="7E048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D54D"/>
  <w15:chartTrackingRefBased/>
  <w15:docId w15:val="{DCC9C7C8-3498-4ED5-9BE0-B35D0A7D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F31"/>
  </w:style>
  <w:style w:type="paragraph" w:styleId="Footer">
    <w:name w:val="footer"/>
    <w:basedOn w:val="Normal"/>
    <w:link w:val="FooterChar"/>
    <w:uiPriority w:val="99"/>
    <w:unhideWhenUsed/>
    <w:rsid w:val="00D3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F31"/>
  </w:style>
  <w:style w:type="paragraph" w:styleId="ListParagraph">
    <w:name w:val="List Paragraph"/>
    <w:basedOn w:val="Normal"/>
    <w:uiPriority w:val="34"/>
    <w:qFormat/>
    <w:rsid w:val="00037881"/>
    <w:pPr>
      <w:ind w:left="720"/>
      <w:contextualSpacing/>
    </w:pPr>
  </w:style>
  <w:style w:type="character" w:styleId="CommentReference">
    <w:name w:val="annotation reference"/>
    <w:basedOn w:val="DefaultParagraphFont"/>
    <w:uiPriority w:val="99"/>
    <w:semiHidden/>
    <w:unhideWhenUsed/>
    <w:rsid w:val="00B41FB0"/>
    <w:rPr>
      <w:sz w:val="16"/>
      <w:szCs w:val="16"/>
    </w:rPr>
  </w:style>
  <w:style w:type="paragraph" w:styleId="CommentText">
    <w:name w:val="annotation text"/>
    <w:basedOn w:val="Normal"/>
    <w:link w:val="CommentTextChar"/>
    <w:uiPriority w:val="99"/>
    <w:unhideWhenUsed/>
    <w:rsid w:val="00B41FB0"/>
    <w:pPr>
      <w:spacing w:line="240" w:lineRule="auto"/>
    </w:pPr>
    <w:rPr>
      <w:sz w:val="20"/>
      <w:szCs w:val="20"/>
    </w:rPr>
  </w:style>
  <w:style w:type="character" w:customStyle="1" w:styleId="CommentTextChar">
    <w:name w:val="Comment Text Char"/>
    <w:basedOn w:val="DefaultParagraphFont"/>
    <w:link w:val="CommentText"/>
    <w:uiPriority w:val="99"/>
    <w:rsid w:val="00B41FB0"/>
    <w:rPr>
      <w:sz w:val="20"/>
      <w:szCs w:val="20"/>
    </w:rPr>
  </w:style>
  <w:style w:type="paragraph" w:styleId="CommentSubject">
    <w:name w:val="annotation subject"/>
    <w:basedOn w:val="CommentText"/>
    <w:next w:val="CommentText"/>
    <w:link w:val="CommentSubjectChar"/>
    <w:uiPriority w:val="99"/>
    <w:semiHidden/>
    <w:unhideWhenUsed/>
    <w:rsid w:val="00B41FB0"/>
    <w:rPr>
      <w:b/>
      <w:bCs/>
    </w:rPr>
  </w:style>
  <w:style w:type="character" w:customStyle="1" w:styleId="CommentSubjectChar">
    <w:name w:val="Comment Subject Char"/>
    <w:basedOn w:val="CommentTextChar"/>
    <w:link w:val="CommentSubject"/>
    <w:uiPriority w:val="99"/>
    <w:semiHidden/>
    <w:rsid w:val="00B41FB0"/>
    <w:rPr>
      <w:b/>
      <w:bCs/>
      <w:sz w:val="20"/>
      <w:szCs w:val="20"/>
    </w:rPr>
  </w:style>
  <w:style w:type="character" w:styleId="Hyperlink">
    <w:name w:val="Hyperlink"/>
    <w:basedOn w:val="DefaultParagraphFont"/>
    <w:uiPriority w:val="99"/>
    <w:unhideWhenUsed/>
    <w:rsid w:val="00B41FB0"/>
    <w:rPr>
      <w:color w:val="0563C1" w:themeColor="hyperlink"/>
      <w:u w:val="single"/>
    </w:rPr>
  </w:style>
  <w:style w:type="character" w:styleId="UnresolvedMention">
    <w:name w:val="Unresolved Mention"/>
    <w:basedOn w:val="DefaultParagraphFont"/>
    <w:uiPriority w:val="99"/>
    <w:semiHidden/>
    <w:unhideWhenUsed/>
    <w:rsid w:val="00B41FB0"/>
    <w:rPr>
      <w:color w:val="605E5C"/>
      <w:shd w:val="clear" w:color="auto" w:fill="E1DFDD"/>
    </w:rPr>
  </w:style>
  <w:style w:type="paragraph" w:styleId="Revision">
    <w:name w:val="Revision"/>
    <w:hidden/>
    <w:uiPriority w:val="99"/>
    <w:semiHidden/>
    <w:rsid w:val="00FF36C8"/>
    <w:pPr>
      <w:spacing w:after="0" w:line="240" w:lineRule="auto"/>
    </w:pPr>
  </w:style>
  <w:style w:type="paragraph" w:styleId="NormalWeb">
    <w:name w:val="Normal (Web)"/>
    <w:basedOn w:val="Normal"/>
    <w:uiPriority w:val="99"/>
    <w:unhideWhenUsed/>
    <w:rsid w:val="00A1174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117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1742"/>
    <w:rPr>
      <w:rFonts w:ascii="Arial" w:eastAsia="Times New Roman" w:hAnsi="Arial" w:cs="Arial"/>
      <w:vanish/>
      <w:sz w:val="16"/>
      <w:szCs w:val="16"/>
    </w:rPr>
  </w:style>
  <w:style w:type="character" w:styleId="PageNumber">
    <w:name w:val="page number"/>
    <w:basedOn w:val="DefaultParagraphFont"/>
    <w:uiPriority w:val="99"/>
    <w:semiHidden/>
    <w:unhideWhenUsed/>
    <w:rsid w:val="006C5D8E"/>
  </w:style>
  <w:style w:type="character" w:styleId="FollowedHyperlink">
    <w:name w:val="FollowedHyperlink"/>
    <w:basedOn w:val="DefaultParagraphFont"/>
    <w:uiPriority w:val="99"/>
    <w:semiHidden/>
    <w:unhideWhenUsed/>
    <w:rsid w:val="006C5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041829">
      <w:bodyDiv w:val="1"/>
      <w:marLeft w:val="0"/>
      <w:marRight w:val="0"/>
      <w:marTop w:val="0"/>
      <w:marBottom w:val="0"/>
      <w:divBdr>
        <w:top w:val="none" w:sz="0" w:space="0" w:color="auto"/>
        <w:left w:val="none" w:sz="0" w:space="0" w:color="auto"/>
        <w:bottom w:val="none" w:sz="0" w:space="0" w:color="auto"/>
        <w:right w:val="none" w:sz="0" w:space="0" w:color="auto"/>
      </w:divBdr>
      <w:divsChild>
        <w:div w:id="236288340">
          <w:marLeft w:val="0"/>
          <w:marRight w:val="0"/>
          <w:marTop w:val="0"/>
          <w:marBottom w:val="0"/>
          <w:divBdr>
            <w:top w:val="none" w:sz="0" w:space="0" w:color="auto"/>
            <w:left w:val="none" w:sz="0" w:space="0" w:color="auto"/>
            <w:bottom w:val="none" w:sz="0" w:space="0" w:color="auto"/>
            <w:right w:val="none" w:sz="0" w:space="0" w:color="auto"/>
          </w:divBdr>
        </w:div>
        <w:div w:id="2053799144">
          <w:marLeft w:val="0"/>
          <w:marRight w:val="0"/>
          <w:marTop w:val="0"/>
          <w:marBottom w:val="0"/>
          <w:divBdr>
            <w:top w:val="single" w:sz="2" w:space="0" w:color="E3E3E3"/>
            <w:left w:val="single" w:sz="2" w:space="0" w:color="E3E3E3"/>
            <w:bottom w:val="single" w:sz="2" w:space="0" w:color="E3E3E3"/>
            <w:right w:val="single" w:sz="2" w:space="0" w:color="E3E3E3"/>
          </w:divBdr>
          <w:divsChild>
            <w:div w:id="1456365885">
              <w:marLeft w:val="0"/>
              <w:marRight w:val="0"/>
              <w:marTop w:val="0"/>
              <w:marBottom w:val="0"/>
              <w:divBdr>
                <w:top w:val="single" w:sz="2" w:space="0" w:color="E3E3E3"/>
                <w:left w:val="single" w:sz="2" w:space="0" w:color="E3E3E3"/>
                <w:bottom w:val="single" w:sz="2" w:space="0" w:color="E3E3E3"/>
                <w:right w:val="single" w:sz="2" w:space="0" w:color="E3E3E3"/>
              </w:divBdr>
              <w:divsChild>
                <w:div w:id="642778905">
                  <w:marLeft w:val="0"/>
                  <w:marRight w:val="0"/>
                  <w:marTop w:val="0"/>
                  <w:marBottom w:val="0"/>
                  <w:divBdr>
                    <w:top w:val="single" w:sz="2" w:space="0" w:color="E3E3E3"/>
                    <w:left w:val="single" w:sz="2" w:space="0" w:color="E3E3E3"/>
                    <w:bottom w:val="single" w:sz="2" w:space="0" w:color="E3E3E3"/>
                    <w:right w:val="single" w:sz="2" w:space="0" w:color="E3E3E3"/>
                  </w:divBdr>
                  <w:divsChild>
                    <w:div w:id="1933394439">
                      <w:marLeft w:val="0"/>
                      <w:marRight w:val="0"/>
                      <w:marTop w:val="0"/>
                      <w:marBottom w:val="0"/>
                      <w:divBdr>
                        <w:top w:val="single" w:sz="2" w:space="0" w:color="E3E3E3"/>
                        <w:left w:val="single" w:sz="2" w:space="0" w:color="E3E3E3"/>
                        <w:bottom w:val="single" w:sz="2" w:space="0" w:color="E3E3E3"/>
                        <w:right w:val="single" w:sz="2" w:space="0" w:color="E3E3E3"/>
                      </w:divBdr>
                      <w:divsChild>
                        <w:div w:id="360786466">
                          <w:marLeft w:val="0"/>
                          <w:marRight w:val="0"/>
                          <w:marTop w:val="0"/>
                          <w:marBottom w:val="0"/>
                          <w:divBdr>
                            <w:top w:val="single" w:sz="2" w:space="0" w:color="E3E3E3"/>
                            <w:left w:val="single" w:sz="2" w:space="0" w:color="E3E3E3"/>
                            <w:bottom w:val="single" w:sz="2" w:space="0" w:color="E3E3E3"/>
                            <w:right w:val="single" w:sz="2" w:space="0" w:color="E3E3E3"/>
                          </w:divBdr>
                          <w:divsChild>
                            <w:div w:id="1896231009">
                              <w:marLeft w:val="0"/>
                              <w:marRight w:val="0"/>
                              <w:marTop w:val="100"/>
                              <w:marBottom w:val="100"/>
                              <w:divBdr>
                                <w:top w:val="single" w:sz="2" w:space="0" w:color="E3E3E3"/>
                                <w:left w:val="single" w:sz="2" w:space="0" w:color="E3E3E3"/>
                                <w:bottom w:val="single" w:sz="2" w:space="0" w:color="E3E3E3"/>
                                <w:right w:val="single" w:sz="2" w:space="0" w:color="E3E3E3"/>
                              </w:divBdr>
                              <w:divsChild>
                                <w:div w:id="302733728">
                                  <w:marLeft w:val="0"/>
                                  <w:marRight w:val="0"/>
                                  <w:marTop w:val="0"/>
                                  <w:marBottom w:val="0"/>
                                  <w:divBdr>
                                    <w:top w:val="single" w:sz="2" w:space="0" w:color="E3E3E3"/>
                                    <w:left w:val="single" w:sz="2" w:space="0" w:color="E3E3E3"/>
                                    <w:bottom w:val="single" w:sz="2" w:space="0" w:color="E3E3E3"/>
                                    <w:right w:val="single" w:sz="2" w:space="0" w:color="E3E3E3"/>
                                  </w:divBdr>
                                  <w:divsChild>
                                    <w:div w:id="1053190772">
                                      <w:marLeft w:val="0"/>
                                      <w:marRight w:val="0"/>
                                      <w:marTop w:val="0"/>
                                      <w:marBottom w:val="0"/>
                                      <w:divBdr>
                                        <w:top w:val="single" w:sz="2" w:space="0" w:color="E3E3E3"/>
                                        <w:left w:val="single" w:sz="2" w:space="0" w:color="E3E3E3"/>
                                        <w:bottom w:val="single" w:sz="2" w:space="0" w:color="E3E3E3"/>
                                        <w:right w:val="single" w:sz="2" w:space="0" w:color="E3E3E3"/>
                                      </w:divBdr>
                                      <w:divsChild>
                                        <w:div w:id="1754157647">
                                          <w:marLeft w:val="0"/>
                                          <w:marRight w:val="0"/>
                                          <w:marTop w:val="0"/>
                                          <w:marBottom w:val="0"/>
                                          <w:divBdr>
                                            <w:top w:val="single" w:sz="2" w:space="0" w:color="E3E3E3"/>
                                            <w:left w:val="single" w:sz="2" w:space="0" w:color="E3E3E3"/>
                                            <w:bottom w:val="single" w:sz="2" w:space="0" w:color="E3E3E3"/>
                                            <w:right w:val="single" w:sz="2" w:space="0" w:color="E3E3E3"/>
                                          </w:divBdr>
                                          <w:divsChild>
                                            <w:div w:id="108938861">
                                              <w:marLeft w:val="0"/>
                                              <w:marRight w:val="0"/>
                                              <w:marTop w:val="0"/>
                                              <w:marBottom w:val="0"/>
                                              <w:divBdr>
                                                <w:top w:val="single" w:sz="2" w:space="0" w:color="E3E3E3"/>
                                                <w:left w:val="single" w:sz="2" w:space="0" w:color="E3E3E3"/>
                                                <w:bottom w:val="single" w:sz="2" w:space="0" w:color="E3E3E3"/>
                                                <w:right w:val="single" w:sz="2" w:space="0" w:color="E3E3E3"/>
                                              </w:divBdr>
                                              <w:divsChild>
                                                <w:div w:id="1460881003">
                                                  <w:marLeft w:val="0"/>
                                                  <w:marRight w:val="0"/>
                                                  <w:marTop w:val="0"/>
                                                  <w:marBottom w:val="0"/>
                                                  <w:divBdr>
                                                    <w:top w:val="single" w:sz="2" w:space="0" w:color="E3E3E3"/>
                                                    <w:left w:val="single" w:sz="2" w:space="0" w:color="E3E3E3"/>
                                                    <w:bottom w:val="single" w:sz="2" w:space="0" w:color="E3E3E3"/>
                                                    <w:right w:val="single" w:sz="2" w:space="0" w:color="E3E3E3"/>
                                                  </w:divBdr>
                                                  <w:divsChild>
                                                    <w:div w:id="7940580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68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ces.ed.gov/programs/coe/indicator/cu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F0E93537208468DD2F6ED19386321" ma:contentTypeVersion="17" ma:contentTypeDescription="Create a new document." ma:contentTypeScope="" ma:versionID="3f83ab26eefd52019531416474c7fd2e">
  <xsd:schema xmlns:xsd="http://www.w3.org/2001/XMLSchema" xmlns:xs="http://www.w3.org/2001/XMLSchema" xmlns:p="http://schemas.microsoft.com/office/2006/metadata/properties" xmlns:ns2="2bbd4f8d-2a65-4a5d-8f3e-fbba9d52cdf6" xmlns:ns3="78d48902-1308-491c-b0e8-47d7793e044a" targetNamespace="http://schemas.microsoft.com/office/2006/metadata/properties" ma:root="true" ma:fieldsID="9e06b8f9d74a8800ccb28f577d72ff5b" ns2:_="" ns3:_="">
    <xsd:import namespace="2bbd4f8d-2a65-4a5d-8f3e-fbba9d52cdf6"/>
    <xsd:import namespace="78d48902-1308-491c-b0e8-47d7793e04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d4f8d-2a65-4a5d-8f3e-fbba9d52c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48902-1308-491c-b0e8-47d7793e04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78662-2d00-4a71-a630-0fd80164f29d}" ma:internalName="TaxCatchAll" ma:showField="CatchAllData" ma:web="78d48902-1308-491c-b0e8-47d7793e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d48902-1308-491c-b0e8-47d7793e044a" xsi:nil="true"/>
    <lcf76f155ced4ddcb4097134ff3c332f xmlns="2bbd4f8d-2a65-4a5d-8f3e-fbba9d52cdf6">
      <Terms xmlns="http://schemas.microsoft.com/office/infopath/2007/PartnerControls"/>
    </lcf76f155ced4ddcb4097134ff3c332f>
    <SharedWithUsers xmlns="78d48902-1308-491c-b0e8-47d7793e044a">
      <UserInfo>
        <DisplayName>Fu, Brian</DisplayName>
        <AccountId>16</AccountId>
        <AccountType/>
      </UserInfo>
      <UserInfo>
        <DisplayName>Madoo, Brent G.</DisplayName>
        <AccountId>14</AccountId>
        <AccountType/>
      </UserInfo>
    </SharedWithUsers>
  </documentManagement>
</p:properties>
</file>

<file path=customXml/itemProps1.xml><?xml version="1.0" encoding="utf-8"?>
<ds:datastoreItem xmlns:ds="http://schemas.openxmlformats.org/officeDocument/2006/customXml" ds:itemID="{DDE0348C-97D2-49DC-8962-0E21D0CE8C6A}">
  <ds:schemaRefs>
    <ds:schemaRef ds:uri="http://schemas.microsoft.com/sharepoint/v3/contenttype/forms"/>
  </ds:schemaRefs>
</ds:datastoreItem>
</file>

<file path=customXml/itemProps2.xml><?xml version="1.0" encoding="utf-8"?>
<ds:datastoreItem xmlns:ds="http://schemas.openxmlformats.org/officeDocument/2006/customXml" ds:itemID="{6C95E74B-F5A2-43AD-BACE-9DA6E8A89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d4f8d-2a65-4a5d-8f3e-fbba9d52cdf6"/>
    <ds:schemaRef ds:uri="78d48902-1308-491c-b0e8-47d7793e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E9E9C-77EF-49C5-985B-80DAF10CE6F1}">
  <ds:schemaRefs>
    <ds:schemaRef ds:uri="http://schemas.microsoft.com/office/2006/metadata/properties"/>
    <ds:schemaRef ds:uri="http://schemas.microsoft.com/office/infopath/2007/PartnerControls"/>
    <ds:schemaRef ds:uri="78d48902-1308-491c-b0e8-47d7793e044a"/>
    <ds:schemaRef ds:uri="2bbd4f8d-2a65-4a5d-8f3e-fbba9d52cd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1046</Words>
  <Characters>6756</Characters>
  <Application>Microsoft Office Word</Application>
  <DocSecurity>0</DocSecurity>
  <Lines>200</Lines>
  <Paragraphs>53</Paragraphs>
  <ScaleCrop>false</ScaleCrop>
  <HeadingPairs>
    <vt:vector size="2" baseType="variant">
      <vt:variant>
        <vt:lpstr>Title</vt:lpstr>
      </vt:variant>
      <vt:variant>
        <vt:i4>1</vt:i4>
      </vt:variant>
    </vt:vector>
  </HeadingPairs>
  <TitlesOfParts>
    <vt:vector size="1" baseType="lpstr">
      <vt:lpstr>College Scorecard Counselor and Advisor Training, Benefits of Using College Scorecard Data Handout  </vt:lpstr>
    </vt:vector>
  </TitlesOfParts>
  <Manager/>
  <Company/>
  <LinksUpToDate>false</LinksUpToDate>
  <CharactersWithSpaces>7765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Scorecard Counselor and Advisor Training, Benefits of Using College Scorecard Data Handout  </dc:title>
  <dc:subject>College Scorecard</dc:subject>
  <dc:creator>U.S. Department of Education </dc:creator>
  <cp:keywords>College Scorecard</cp:keywords>
  <dc:description>College Scorecard Website Training
</dc:description>
  <cp:lastModifiedBy>Pablo Traverso</cp:lastModifiedBy>
  <cp:revision>98</cp:revision>
  <dcterms:created xsi:type="dcterms:W3CDTF">2024-03-06T19:23:00Z</dcterms:created>
  <dcterms:modified xsi:type="dcterms:W3CDTF">2024-07-22T23:57:00Z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0x010100E99F0E93537208468DD2F6ED19386321</vt:lpwstr>
  </property>
  <property fmtid="{D5CDD505-2E9C-101B-9397-08002B2CF9AE}" pid="4" name="MediaServiceImageTags">
    <vt:lpwstr/>
  </property>
</Properties>
</file>